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0E" w:rsidRDefault="00DD3C42">
      <w:pPr>
        <w:pStyle w:val="Balk1"/>
        <w:spacing w:before="0"/>
        <w:rPr>
          <w:rFonts w:asciiTheme="minorHAnsi" w:hAnsiTheme="minorHAnsi" w:cstheme="minorHAnsi"/>
        </w:rPr>
      </w:pPr>
      <w:r>
        <w:rPr>
          <w:rFonts w:asciiTheme="minorHAnsi" w:hAnsiTheme="minorHAnsi" w:cstheme="minorHAnsi"/>
        </w:rPr>
        <w:t>SOSYAL GELİŞMEYİ DESTEKLEME PROGRAMI (SOGEP)</w:t>
      </w:r>
    </w:p>
    <w:p w:rsidR="00B4040E" w:rsidRDefault="00DD3C42">
      <w:pPr>
        <w:jc w:val="both"/>
      </w:pPr>
      <w:proofErr w:type="gramStart"/>
      <w:r>
        <w:t>Sosyal Gelişmeyi Destekleme Programı’nın (</w:t>
      </w:r>
      <w:bookmarkStart w:id="0" w:name="_GoBack"/>
      <w:bookmarkEnd w:id="0"/>
      <w:r>
        <w:t>SOGEP) hedefi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 istihdam edilebilirliği artırmak, sosyal içermeyi, sosyal girişimciliği ve yenilikçiliği desteklemek ve sosyal sorumluluk uygulamalarını yaygınlaştırmaktır.</w:t>
      </w:r>
      <w:proofErr w:type="gramEnd"/>
    </w:p>
    <w:p w:rsidR="00B4040E" w:rsidRDefault="00DD3C42">
      <w:pPr>
        <w:keepNext/>
        <w:keepLines/>
        <w:spacing w:before="200" w:after="0"/>
        <w:jc w:val="center"/>
        <w:outlineLvl w:val="2"/>
        <w:rPr>
          <w:rFonts w:eastAsiaTheme="majorEastAsia" w:cstheme="minorHAnsi"/>
          <w:b/>
          <w:bCs/>
          <w:color w:val="4F81BD"/>
        </w:rPr>
      </w:pPr>
      <w:r>
        <w:rPr>
          <w:rFonts w:eastAsiaTheme="majorEastAsia" w:cstheme="minorHAnsi"/>
          <w:b/>
          <w:bCs/>
          <w:color w:val="4F81BD" w:themeColor="accent1"/>
        </w:rPr>
        <w:t>2023 Yılı Sosyal Gelişmeyi Destekleme Programı Teması:</w:t>
      </w:r>
    </w:p>
    <w:p w:rsidR="00B4040E" w:rsidRDefault="00DD3C42">
      <w:pPr>
        <w:spacing w:after="0"/>
        <w:jc w:val="center"/>
        <w:rPr>
          <w:rFonts w:cstheme="minorHAnsi"/>
          <w:i/>
          <w:u w:val="single"/>
        </w:rPr>
      </w:pPr>
      <w:r>
        <w:rPr>
          <w:rFonts w:cstheme="minorHAnsi"/>
          <w:i/>
          <w:u w:val="single"/>
        </w:rPr>
        <w:t>“Gençlerde yerel, bölgesel ve ulusal kalkınma bilinci oluşturacak, gençlerin geleceğin işlerinin gerektirdiği beceriler ile donatılması ve becerilerine uygun işlerde istihdam edilmesiyle üretim süreçlerine aktif katılımını önceleyen projeler”</w:t>
      </w:r>
    </w:p>
    <w:p w:rsidR="00B4040E" w:rsidRDefault="00DD3C42">
      <w:pPr>
        <w:tabs>
          <w:tab w:val="num" w:pos="720"/>
        </w:tabs>
        <w:spacing w:before="240"/>
        <w:jc w:val="both"/>
        <w:rPr>
          <w:rFonts w:cstheme="minorHAnsi"/>
        </w:rPr>
      </w:pPr>
      <w:r>
        <w:rPr>
          <w:rStyle w:val="Balk2Char"/>
          <w:rFonts w:asciiTheme="minorHAnsi" w:hAnsiTheme="minorHAnsi" w:cstheme="minorHAnsi"/>
        </w:rPr>
        <w:t>Programın Öncelikleri</w:t>
      </w:r>
      <w:r>
        <w:rPr>
          <w:rFonts w:cstheme="minorHAnsi"/>
        </w:rPr>
        <w:t xml:space="preserve"> </w:t>
      </w:r>
    </w:p>
    <w:p w:rsidR="00B4040E" w:rsidRDefault="00DD3C42">
      <w:pPr>
        <w:pStyle w:val="Balk3"/>
        <w:spacing w:before="0"/>
        <w:ind w:left="708"/>
        <w:rPr>
          <w:rFonts w:asciiTheme="minorHAnsi" w:hAnsiTheme="minorHAnsi" w:cstheme="minorHAnsi"/>
        </w:rPr>
      </w:pPr>
      <w:r>
        <w:rPr>
          <w:rFonts w:asciiTheme="minorHAnsi" w:hAnsiTheme="minorHAnsi" w:cstheme="minorHAnsi"/>
        </w:rPr>
        <w:t>Öncelik-1: İstihdam Edilebilirliği Artırmak</w:t>
      </w:r>
    </w:p>
    <w:p w:rsidR="00B4040E" w:rsidRDefault="00DD3C42">
      <w:pPr>
        <w:jc w:val="both"/>
      </w:pPr>
      <w:r>
        <w:t>(Toplumun dezavantajlı kesimlerinin istihdama katılımının kolaylaştırılmasına ve mesleki bilgi ve becerilerinin geliştirilmesine; genç istihdamını artırmaya; ildeki ve bölgedeki ihtiyaçlara uygun alanlarda nitelikli ve üretken beşerî sermayenin geliştirilmesine yönelik projeler)</w:t>
      </w:r>
    </w:p>
    <w:p w:rsidR="00B4040E" w:rsidRDefault="00DD3C42">
      <w:pPr>
        <w:pStyle w:val="Balk3"/>
        <w:spacing w:before="0"/>
        <w:ind w:left="708"/>
        <w:rPr>
          <w:rFonts w:asciiTheme="minorHAnsi" w:hAnsiTheme="minorHAnsi" w:cstheme="minorHAnsi"/>
        </w:rPr>
      </w:pPr>
      <w:r>
        <w:rPr>
          <w:rFonts w:asciiTheme="minorHAnsi" w:hAnsiTheme="minorHAnsi" w:cstheme="minorHAnsi"/>
        </w:rPr>
        <w:t>Öncelik-2: Sosyal Girişimcilik</w:t>
      </w:r>
      <w:r>
        <w:rPr>
          <w:rStyle w:val="DipnotBavurusu"/>
          <w:rFonts w:asciiTheme="minorHAnsi" w:hAnsiTheme="minorHAnsi" w:cstheme="minorHAnsi"/>
        </w:rPr>
        <w:footnoteReference w:id="1"/>
      </w:r>
      <w:r>
        <w:rPr>
          <w:rFonts w:asciiTheme="minorHAnsi" w:hAnsiTheme="minorHAnsi" w:cstheme="minorHAnsi"/>
        </w:rPr>
        <w:t xml:space="preserve"> ve Yenilikçilik</w:t>
      </w:r>
    </w:p>
    <w:p w:rsidR="00B4040E" w:rsidRDefault="00DD3C42">
      <w:pPr>
        <w:jc w:val="both"/>
      </w:pPr>
      <w:r>
        <w:t xml:space="preserve">(Sosyal girişimlerin kurulmasına ve kapasitelerinin artırılmasına; istihdam edilebilirliğe ve sosyal içermeye ilişkin yenilikçi modeller geliştirilmesine; sosyal girişimcilik ve sosyal yenilikçilik alanlarında </w:t>
      </w:r>
      <w:r w:rsidR="00261E0F">
        <w:t>hizmet veren/verecek olan kuruluş</w:t>
      </w:r>
      <w:r>
        <w:t>ların işleteceği, ekosistem güçlendirmeye yönelik merkezler, sosyal laboratuvarlar ile kuluçka ve hızlandırıcı programların uygulanmasına yönelik projeler)</w:t>
      </w:r>
    </w:p>
    <w:p w:rsidR="00B4040E" w:rsidRDefault="00DD3C42">
      <w:pPr>
        <w:pStyle w:val="Balk3"/>
        <w:spacing w:before="0"/>
        <w:ind w:left="708"/>
        <w:rPr>
          <w:rFonts w:asciiTheme="minorHAnsi" w:hAnsiTheme="minorHAnsi" w:cstheme="minorHAnsi"/>
        </w:rPr>
      </w:pPr>
      <w:r>
        <w:rPr>
          <w:rFonts w:asciiTheme="minorHAnsi" w:hAnsiTheme="minorHAnsi" w:cstheme="minorHAnsi"/>
        </w:rPr>
        <w:t>Öncelik-3: Sosyal İçerme</w:t>
      </w:r>
      <w:r>
        <w:rPr>
          <w:rStyle w:val="DipnotBavurusu"/>
          <w:rFonts w:asciiTheme="minorHAnsi" w:hAnsiTheme="minorHAnsi" w:cstheme="minorHAnsi"/>
        </w:rPr>
        <w:footnoteReference w:id="2"/>
      </w:r>
    </w:p>
    <w:p w:rsidR="00B4040E" w:rsidRDefault="00DD3C42">
      <w:pPr>
        <w:jc w:val="both"/>
      </w:pPr>
      <w:r>
        <w:t>(Sosyal yardım alan kesimin gelir düzeyinin artırılmasına; toplumun dezavantajlı kesimlerinin yaşam kalitelerinin yükseltilmesine; dezavantajlı kesimlere sunulan hizmetlerin kalitesinin artırılmasına</w:t>
      </w:r>
      <w:r w:rsidR="00261E0F">
        <w:t>, dezavantajlı çocuk ve gençlerin yetenek gelişimi ve teknoloji kullanma becerilerinin geliştirilmesine</w:t>
      </w:r>
      <w:r>
        <w:t xml:space="preserve"> yönelik </w:t>
      </w:r>
      <w:r>
        <w:rPr>
          <w:b/>
          <w:i/>
        </w:rPr>
        <w:t>yenilikçi ve model nitelikli projeler</w:t>
      </w:r>
      <w:r>
        <w:t>)</w:t>
      </w:r>
    </w:p>
    <w:p w:rsidR="00B4040E" w:rsidRDefault="00DD3C42">
      <w:pPr>
        <w:pStyle w:val="Balk3"/>
        <w:spacing w:before="0"/>
        <w:ind w:left="708"/>
        <w:rPr>
          <w:rFonts w:asciiTheme="minorHAnsi" w:hAnsiTheme="minorHAnsi" w:cstheme="minorHAnsi"/>
        </w:rPr>
      </w:pPr>
      <w:r>
        <w:rPr>
          <w:rFonts w:asciiTheme="minorHAnsi" w:hAnsiTheme="minorHAnsi" w:cstheme="minorHAnsi"/>
        </w:rPr>
        <w:t>Öncelik-4: Sosyal Sorumluluk</w:t>
      </w:r>
      <w:r>
        <w:rPr>
          <w:rStyle w:val="DipnotBavurusu"/>
          <w:rFonts w:asciiTheme="minorHAnsi" w:hAnsiTheme="minorHAnsi" w:cstheme="minorHAnsi"/>
        </w:rPr>
        <w:footnoteReference w:id="3"/>
      </w:r>
    </w:p>
    <w:p w:rsidR="00B4040E" w:rsidRDefault="00DD3C42">
      <w:pPr>
        <w:jc w:val="both"/>
      </w:pPr>
      <w:r>
        <w:t>(Bölge öncelikleriyle kâr amacı güden kesimin sosyal sorumluluk faaliyetlerini uyumlaştırmaya; program öncelik alanlarına ve/veya tespit edilen farklı sosyal bir sorunun çözümüne yönelik yenilikçi ve model nitelikli projeler)</w:t>
      </w:r>
    </w:p>
    <w:p w:rsidR="00B4040E" w:rsidRDefault="00DD3C42">
      <w:pPr>
        <w:pStyle w:val="Balk2"/>
        <w:rPr>
          <w:rFonts w:asciiTheme="minorHAnsi" w:hAnsiTheme="minorHAnsi" w:cstheme="minorHAnsi"/>
        </w:rPr>
      </w:pPr>
      <w:r>
        <w:rPr>
          <w:rFonts w:asciiTheme="minorHAnsi" w:hAnsiTheme="minorHAnsi" w:cstheme="minorHAnsi"/>
        </w:rPr>
        <w:lastRenderedPageBreak/>
        <w:t>Başvuru Sahipleri</w:t>
      </w:r>
    </w:p>
    <w:p w:rsidR="00B4040E" w:rsidRDefault="00DD3C42">
      <w:pPr>
        <w:jc w:val="both"/>
      </w:pPr>
      <w:proofErr w:type="gramStart"/>
      <w:r>
        <w:t>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(öncelik 4) için özel kesim kuruluşları bu program kapsamında </w:t>
      </w:r>
      <w:r>
        <w:rPr>
          <w:b/>
          <w:bCs/>
        </w:rPr>
        <w:t>başvuru sahibi</w:t>
      </w:r>
      <w:r>
        <w:t> ve </w:t>
      </w:r>
      <w:r>
        <w:rPr>
          <w:b/>
          <w:bCs/>
        </w:rPr>
        <w:t>proje ortağı</w:t>
      </w:r>
      <w:r>
        <w:t xml:space="preserve"> olabilir. </w:t>
      </w:r>
      <w:proofErr w:type="gramEnd"/>
      <w:r>
        <w:rPr>
          <w:b/>
        </w:rPr>
        <w:t>Kâr amacı güden kuruluşlar, sosyal sorumluluk projeleri için başvuru sahibi, diğer projelerde ise ancak proje ortağı veya iştirakçi olabilirler.</w:t>
      </w:r>
      <w:r>
        <w:t xml:space="preserve"> </w:t>
      </w:r>
    </w:p>
    <w:p w:rsidR="00B4040E" w:rsidRDefault="00DD3C42">
      <w:pPr>
        <w:jc w:val="both"/>
      </w:pPr>
      <w:r>
        <w:t>Başvuru sahiplerinde hedeflenen bölgede kayıtlı olmaları veya merkezlerinin ya da yasal şubelerinin bu bölgede bulunması şartı aranmaz. Ancak proje faaliyetleri bölge (Zonguldak, Karabük, Bartın) içerisinde yürütülür.</w:t>
      </w:r>
    </w:p>
    <w:p w:rsidR="00B4040E" w:rsidRDefault="00DD3C42">
      <w:pPr>
        <w:pStyle w:val="Balk2"/>
        <w:rPr>
          <w:rFonts w:asciiTheme="minorHAnsi" w:hAnsiTheme="minorHAnsi" w:cstheme="minorHAnsi"/>
        </w:rPr>
      </w:pPr>
      <w:r>
        <w:rPr>
          <w:rFonts w:asciiTheme="minorHAnsi" w:hAnsiTheme="minorHAnsi" w:cstheme="minorHAnsi"/>
        </w:rPr>
        <w:t>Öncelikli Projeler</w:t>
      </w:r>
    </w:p>
    <w:p w:rsidR="00B4040E" w:rsidRDefault="00DD3C42">
      <w:pPr>
        <w:spacing w:after="0"/>
        <w:jc w:val="both"/>
      </w:pPr>
      <w:r>
        <w:t>Program kapsamında aşağıdaki nitelikteki projelere öncelik verilir:</w:t>
      </w:r>
    </w:p>
    <w:p w:rsidR="00B4040E" w:rsidRDefault="00DD3C42">
      <w:pPr>
        <w:pStyle w:val="ListeParagraf"/>
        <w:numPr>
          <w:ilvl w:val="0"/>
          <w:numId w:val="4"/>
        </w:numPr>
        <w:spacing w:after="0"/>
        <w:jc w:val="both"/>
      </w:pPr>
      <w:r>
        <w:rPr>
          <w:b/>
        </w:rPr>
        <w:t>Genç, kadın ve engellilerin istihdamını hedefleyen</w:t>
      </w:r>
      <w:r>
        <w:t>, yenilikçilik, ortaklık ve iş birliği boyutu güçlü projeler,</w:t>
      </w:r>
    </w:p>
    <w:p w:rsidR="00B4040E" w:rsidRDefault="00DD3C42">
      <w:pPr>
        <w:pStyle w:val="Balk2"/>
        <w:numPr>
          <w:ilvl w:val="0"/>
          <w:numId w:val="4"/>
        </w:numPr>
        <w:spacing w:before="0"/>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Doğrudan sosyal sorumluluk projesi olmasa da </w:t>
      </w:r>
      <w:r>
        <w:rPr>
          <w:rFonts w:asciiTheme="minorHAnsi" w:eastAsiaTheme="minorHAnsi" w:hAnsiTheme="minorHAnsi" w:cstheme="minorBidi"/>
          <w:bCs w:val="0"/>
          <w:color w:val="auto"/>
          <w:sz w:val="22"/>
          <w:szCs w:val="22"/>
        </w:rPr>
        <w:t>özel sektörün içerisinde yer aldığı ve nakdi eş finansman katkısı sunmayı taahhüt ettiği</w:t>
      </w:r>
      <w:r>
        <w:rPr>
          <w:rFonts w:asciiTheme="minorHAnsi" w:eastAsiaTheme="minorHAnsi" w:hAnsiTheme="minorHAnsi" w:cstheme="minorBidi"/>
          <w:b w:val="0"/>
          <w:bCs w:val="0"/>
          <w:color w:val="auto"/>
          <w:sz w:val="22"/>
          <w:szCs w:val="22"/>
        </w:rPr>
        <w:t xml:space="preserve"> projeler,</w:t>
      </w:r>
    </w:p>
    <w:p w:rsidR="00B4040E" w:rsidRDefault="00DD3C42">
      <w:pPr>
        <w:pStyle w:val="Balk2"/>
        <w:numPr>
          <w:ilvl w:val="0"/>
          <w:numId w:val="4"/>
        </w:numPr>
        <w:spacing w:before="0"/>
        <w:jc w:val="both"/>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Proje kapsamında kullanılması öngörülen fiziksel mekânın </w:t>
      </w:r>
      <w:r>
        <w:rPr>
          <w:rFonts w:asciiTheme="minorHAnsi" w:eastAsiaTheme="minorHAnsi" w:hAnsiTheme="minorHAnsi" w:cstheme="minorBidi"/>
          <w:bCs w:val="0"/>
          <w:color w:val="auto"/>
          <w:sz w:val="22"/>
          <w:szCs w:val="22"/>
        </w:rPr>
        <w:t>sıfırdan bir inşaat yerine atıl kamu binaları</w:t>
      </w:r>
      <w:r>
        <w:rPr>
          <w:rFonts w:asciiTheme="minorHAnsi" w:eastAsiaTheme="minorHAnsi" w:hAnsiTheme="minorHAnsi" w:cstheme="minorBidi"/>
          <w:b w:val="0"/>
          <w:bCs w:val="0"/>
          <w:color w:val="auto"/>
          <w:sz w:val="22"/>
          <w:szCs w:val="22"/>
        </w:rPr>
        <w:t>nın değerlendirilerek karşılanmasını öngören projeler,</w:t>
      </w:r>
    </w:p>
    <w:p w:rsidR="00B4040E" w:rsidRDefault="00DD3C42">
      <w:pPr>
        <w:pStyle w:val="Balk2"/>
        <w:rPr>
          <w:rFonts w:asciiTheme="minorHAnsi" w:hAnsiTheme="minorHAnsi" w:cstheme="minorHAnsi"/>
        </w:rPr>
      </w:pPr>
      <w:r>
        <w:rPr>
          <w:rFonts w:asciiTheme="minorHAnsi" w:hAnsiTheme="minorHAnsi" w:cstheme="minorHAnsi"/>
        </w:rPr>
        <w:t>Uygun Olmayan Proje Konuları</w:t>
      </w:r>
    </w:p>
    <w:p w:rsidR="00B4040E" w:rsidRDefault="00DD3C42">
      <w:pPr>
        <w:spacing w:after="0"/>
        <w:jc w:val="both"/>
      </w:pPr>
      <w:r>
        <w:t>Program kapsamında aşağıdaki nitelikteki projeler desteklenmez:</w:t>
      </w:r>
    </w:p>
    <w:p w:rsidR="00B4040E" w:rsidRDefault="00DD3C42">
      <w:pPr>
        <w:pStyle w:val="ListeParagraf"/>
        <w:numPr>
          <w:ilvl w:val="0"/>
          <w:numId w:val="3"/>
        </w:numPr>
        <w:jc w:val="both"/>
      </w:pPr>
      <w:r>
        <w:t>Temel sosyal hizmet sunumuna yönelik yenilikçi niteliği olmayan projeler,</w:t>
      </w:r>
    </w:p>
    <w:p w:rsidR="00B4040E" w:rsidRDefault="00DD3C42">
      <w:pPr>
        <w:pStyle w:val="ListeParagraf"/>
        <w:numPr>
          <w:ilvl w:val="0"/>
          <w:numId w:val="3"/>
        </w:numPr>
        <w:jc w:val="both"/>
      </w:pPr>
      <w:r>
        <w:t>Yurtdışı ziyaret ile yurtdışı seminer, konferans, eğitim vb. faaliyetleri içeren proje kalemleri,</w:t>
      </w:r>
    </w:p>
    <w:p w:rsidR="00B4040E" w:rsidRDefault="00DD3C42">
      <w:pPr>
        <w:pStyle w:val="ListeParagraf"/>
        <w:numPr>
          <w:ilvl w:val="0"/>
          <w:numId w:val="3"/>
        </w:numPr>
        <w:jc w:val="both"/>
      </w:pPr>
      <w:r>
        <w:t>Sosyal yardım ve nakdi sosyal transfer mahiyetindeki unsurlar içeren projeler,</w:t>
      </w:r>
    </w:p>
    <w:p w:rsidR="00B4040E" w:rsidRDefault="00DD3C42">
      <w:pPr>
        <w:pStyle w:val="ListeParagraf"/>
        <w:numPr>
          <w:ilvl w:val="0"/>
          <w:numId w:val="3"/>
        </w:numPr>
        <w:jc w:val="both"/>
      </w:pPr>
      <w:r>
        <w:t>Okul derslerini takviye amaçlı etüt faaliyetleri ve sınavlara hazırlık amacı taşıyan kurs projeleri,</w:t>
      </w:r>
    </w:p>
    <w:p w:rsidR="00B4040E" w:rsidRDefault="00DD3C42">
      <w:pPr>
        <w:pStyle w:val="ListeParagraf"/>
        <w:numPr>
          <w:ilvl w:val="0"/>
          <w:numId w:val="3"/>
        </w:numPr>
        <w:jc w:val="both"/>
      </w:pPr>
      <w:r>
        <w:t>Proje amaçları ile ilişkilendirilmemiş ve sürdürülebilirliği zayıf eğitim faaliyetlerine odaklanan projeler,</w:t>
      </w:r>
    </w:p>
    <w:p w:rsidR="00B4040E" w:rsidRDefault="00DD3C42">
      <w:pPr>
        <w:pStyle w:val="ListeParagraf"/>
        <w:numPr>
          <w:ilvl w:val="0"/>
          <w:numId w:val="3"/>
        </w:numPr>
        <w:jc w:val="both"/>
      </w:pPr>
      <w:r>
        <w:t>Hâlihazırda başka bir kurum tarafından rutin olarak sunulan hizmetleri içeren projeler,</w:t>
      </w:r>
    </w:p>
    <w:p w:rsidR="00B4040E" w:rsidRDefault="00DD3C42">
      <w:pPr>
        <w:pStyle w:val="ListeParagraf"/>
        <w:numPr>
          <w:ilvl w:val="0"/>
          <w:numId w:val="3"/>
        </w:numPr>
        <w:jc w:val="both"/>
      </w:pPr>
      <w:r>
        <w:t>Hedef kitle ile faaliyetleri arasında ilişki kurulamayan projeler,</w:t>
      </w:r>
    </w:p>
    <w:p w:rsidR="00B4040E" w:rsidRDefault="00DD3C42">
      <w:pPr>
        <w:pStyle w:val="ListeParagraf"/>
        <w:numPr>
          <w:ilvl w:val="0"/>
          <w:numId w:val="3"/>
        </w:numPr>
        <w:jc w:val="both"/>
      </w:pPr>
      <w:r>
        <w:t>Sosyal sorunların tespiti ve bu sorunların çözümüne ilişkin sosyal araştırma, analiz ve raporlama faaliyetleriyle sınırlı projeler.</w:t>
      </w:r>
    </w:p>
    <w:p w:rsidR="00B4040E" w:rsidRDefault="00DD3C42">
      <w:pPr>
        <w:pStyle w:val="ListeParagraf"/>
        <w:numPr>
          <w:ilvl w:val="0"/>
          <w:numId w:val="3"/>
        </w:numPr>
        <w:jc w:val="both"/>
      </w:pPr>
      <w:r>
        <w:t>Hâlihazırda başka bir finansman kaynağından desteklenen projeler Program kapsamında desteklenemez. 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w:t>
      </w:r>
    </w:p>
    <w:p w:rsidR="00B4040E" w:rsidRDefault="00DD3C42">
      <w:pPr>
        <w:spacing w:after="0"/>
        <w:jc w:val="both"/>
        <w:rPr>
          <w:rFonts w:cstheme="minorHAnsi"/>
        </w:rPr>
      </w:pPr>
      <w:r>
        <w:rPr>
          <w:rFonts w:eastAsiaTheme="majorEastAsia" w:cstheme="minorHAnsi"/>
          <w:b/>
          <w:bCs/>
          <w:color w:val="4F81BD" w:themeColor="accent1"/>
          <w:sz w:val="26"/>
          <w:szCs w:val="26"/>
        </w:rPr>
        <w:t>Proje Uygulama Süresi</w:t>
      </w:r>
      <w:r>
        <w:rPr>
          <w:rFonts w:cstheme="minorHAnsi"/>
        </w:rPr>
        <w:t xml:space="preserve"> </w:t>
      </w:r>
    </w:p>
    <w:p w:rsidR="00B4040E" w:rsidRDefault="00DD3C42">
      <w:pPr>
        <w:jc w:val="both"/>
      </w:pPr>
      <w:r>
        <w:t xml:space="preserve">En fazla </w:t>
      </w:r>
      <w:r>
        <w:rPr>
          <w:b/>
          <w:i/>
          <w:u w:val="single"/>
        </w:rPr>
        <w:t>on sekiz aydır</w:t>
      </w:r>
      <w:r>
        <w:t xml:space="preserve">. </w:t>
      </w:r>
    </w:p>
    <w:p w:rsidR="00B4040E" w:rsidRDefault="00B4040E">
      <w:pPr>
        <w:jc w:val="both"/>
      </w:pPr>
    </w:p>
    <w:p w:rsidR="00B4040E" w:rsidRDefault="00DD3C42">
      <w:pPr>
        <w:pStyle w:val="Balk2"/>
        <w:spacing w:before="0"/>
        <w:rPr>
          <w:rFonts w:asciiTheme="minorHAnsi" w:hAnsiTheme="minorHAnsi" w:cstheme="minorHAnsi"/>
        </w:rPr>
      </w:pPr>
      <w:r>
        <w:rPr>
          <w:rFonts w:asciiTheme="minorHAnsi" w:hAnsiTheme="minorHAnsi" w:cstheme="minorHAnsi"/>
        </w:rPr>
        <w:lastRenderedPageBreak/>
        <w:t>Proje Finansmanına İlişkin Hususlar</w:t>
      </w:r>
    </w:p>
    <w:p w:rsidR="00B4040E" w:rsidRDefault="00DD3C42">
      <w:pPr>
        <w:jc w:val="both"/>
      </w:pPr>
      <w:r>
        <w:t xml:space="preserve">Proje bütçesinin asgari 1 Milyon TL olması gerekmektedir. </w:t>
      </w:r>
      <w:r>
        <w:rPr>
          <w:b/>
        </w:rPr>
        <w:t>Kamu kurumları ile kâr amacı gütmeyen kuruluşların başvuru sahibi olduğu projelerde eş finansman katkısı asgari yüzde ondur.</w:t>
      </w:r>
      <w:r>
        <w:t xml:space="preserve"> </w:t>
      </w:r>
      <w:r>
        <w:rPr>
          <w:b/>
        </w:rPr>
        <w:t>Kâr amacı güden kuruluşların başvuru sahibi olduğu sosyal sorumluluk projelerinde eş finansman katkısı asgari yüzde ellidir.</w:t>
      </w:r>
    </w:p>
    <w:p w:rsidR="00B4040E" w:rsidRDefault="00341057">
      <w:pPr>
        <w:jc w:val="both"/>
      </w:pPr>
      <w:r>
        <w:t>Sözleşmenin imzalanmasından itibaren 6 aylık süre içerisinde proje faaliyetlerine başlamayan, u</w:t>
      </w:r>
      <w:r w:rsidR="00DD3C42">
        <w:t>ygulama imkânı kalmamış, ilerleme kaydedilemeyen</w:t>
      </w:r>
      <w:r w:rsidR="00144283">
        <w:t>, proje yerinin değişmesinin projenin amacına ulaşması bakımından risk teşkil ettiği</w:t>
      </w:r>
      <w:r w:rsidR="00DD3C42">
        <w:t xml:space="preserve"> veya sözleşmeye, eklerine ve yürürlükteki mevzuata uygun şekilde yürütülmeyen projeler, Bakanlık tarafından </w:t>
      </w:r>
      <w:proofErr w:type="spellStart"/>
      <w:r w:rsidR="00DD3C42">
        <w:t>re’sen</w:t>
      </w:r>
      <w:proofErr w:type="spellEnd"/>
      <w:r w:rsidR="00DD3C42">
        <w:t xml:space="preserve"> veya Ajansın bildirimi üzerine yapılacak değerlendirme neticesinde Programdan çıkarılabilir. </w:t>
      </w:r>
    </w:p>
    <w:p w:rsidR="00B4040E" w:rsidRDefault="00DD3C42">
      <w:pPr>
        <w:pStyle w:val="Balk2"/>
        <w:rPr>
          <w:rFonts w:asciiTheme="minorHAnsi" w:hAnsiTheme="minorHAnsi" w:cstheme="minorHAnsi"/>
        </w:rPr>
      </w:pPr>
      <w:r>
        <w:rPr>
          <w:rFonts w:asciiTheme="minorHAnsi" w:hAnsiTheme="minorHAnsi" w:cstheme="minorHAnsi"/>
        </w:rPr>
        <w:t>SOGEP Proje Başvuru Süreci</w:t>
      </w:r>
    </w:p>
    <w:p w:rsidR="00B4040E" w:rsidRDefault="00DD3C42">
      <w:pPr>
        <w:jc w:val="both"/>
      </w:pPr>
      <w:r>
        <w:t>Batı Karadeniz Kalkınma Ajansı internet sitesi</w:t>
      </w:r>
      <w:r w:rsidR="0047664D">
        <w:t xml:space="preserve"> (</w:t>
      </w:r>
      <w:hyperlink r:id="rId8" w:history="1">
        <w:r w:rsidR="0047664D" w:rsidRPr="0047664D">
          <w:rPr>
            <w:rStyle w:val="Kpr"/>
          </w:rPr>
          <w:t>www.ba</w:t>
        </w:r>
        <w:r w:rsidR="0047664D" w:rsidRPr="0047664D">
          <w:rPr>
            <w:rStyle w:val="Kpr"/>
          </w:rPr>
          <w:t>k</w:t>
        </w:r>
        <w:r w:rsidR="0047664D" w:rsidRPr="0047664D">
          <w:rPr>
            <w:rStyle w:val="Kpr"/>
          </w:rPr>
          <w:t>ka.gov.tr</w:t>
        </w:r>
      </w:hyperlink>
      <w:r w:rsidR="0047664D">
        <w:t>)</w:t>
      </w:r>
      <w:r>
        <w:t xml:space="preserve"> üzerinden yapmış olduğunuz başvuru, proje fikrinizin değerlendirilmesi amacıyla alınmaktadır. Fikirleriniz proje havuzu kapsamında değerlendirilecek olup Ajans Değerlendirme Komisyonu tarafından oluşturulacak kısa liste ile 2023 yılı SOGEP başvurularının hazırlanması aşamasında yeniden görüşülecek, hazırlanmasına destek olunan başvurular Değerlendirme Komitesince değerlendirilecek</w:t>
      </w:r>
      <w:r w:rsidR="007F444A">
        <w:t>tir.</w:t>
      </w:r>
      <w:r>
        <w:t xml:space="preserve"> Zonguldak, Karabük ve Bartın illeri için başarılı değerlendirilen azami </w:t>
      </w:r>
      <w:r w:rsidR="0047664D">
        <w:t>2</w:t>
      </w:r>
      <w:r>
        <w:t xml:space="preserve"> proje</w:t>
      </w:r>
      <w:r w:rsidR="00F61913">
        <w:t xml:space="preserve"> </w:t>
      </w:r>
      <w:r>
        <w:t>teklifi</w:t>
      </w:r>
      <w:r w:rsidR="007F444A">
        <w:t>nin</w:t>
      </w:r>
      <w:r>
        <w:t xml:space="preserve"> puan ve öncelik sırası ile Sanayi ve Te</w:t>
      </w:r>
      <w:r w:rsidR="007F444A">
        <w:t>knoloji Bakanlığına sunulması öngörülmektedir</w:t>
      </w:r>
      <w:r>
        <w:t>. Proje havuzuna sunulan tüm proje teklifleri</w:t>
      </w:r>
      <w:r w:rsidR="0047664D">
        <w:t>,</w:t>
      </w:r>
      <w:r>
        <w:t xml:space="preserve"> SOGEP ve farklı destek programları kapsamında geliştirilmek üzere BAKKA veri tabanına işlenecektir.</w:t>
      </w:r>
    </w:p>
    <w:p w:rsidR="00B4040E" w:rsidRDefault="00DD3C42" w:rsidP="00F61913">
      <w:pPr>
        <w:jc w:val="both"/>
      </w:pPr>
      <w:r>
        <w:t>Sanayi ve Teknoloji Bakanlığı tarafından projelerin değerlendirilmesi esnasında projelere ilişkin sunum hazırlanması beklenmektedir. Değerlendirme başarılı/başarısız</w:t>
      </w:r>
      <w:r w:rsidR="00F61913">
        <w:t xml:space="preserve"> neticelenebilir, Bakanlık projenin başarısı ve uygulanabilirliği açısından gerekli gördüğü durumlarda proje kapsamı, ismi, hedef kitlesi, uygulama yeri, başvuru sahibi, proje faaliyetleri ve bütçe kalemlerinde </w:t>
      </w:r>
      <w:proofErr w:type="spellStart"/>
      <w:r w:rsidR="00F61913">
        <w:t>re’sen</w:t>
      </w:r>
      <w:proofErr w:type="spellEnd"/>
      <w:r w:rsidR="00F61913">
        <w:t xml:space="preserve"> değişiklik yapabilir.</w:t>
      </w:r>
    </w:p>
    <w:p w:rsidR="00B4040E" w:rsidRDefault="00DD3C42">
      <w:pPr>
        <w:jc w:val="both"/>
      </w:pPr>
      <w:r>
        <w:t>Proje bilgi formu, bütçesi ve iş planının Bakanlık tarafından KAYS üzerinden onaylanmasından sonra iki ay içinde Ajans ile yararlanıcı arasında sözleşme imzalanır. Bu süre içinde sözleşmesi imzalanmayan projeler Bakanlık tarafından Program kapsamından çıkarılabilir.</w:t>
      </w:r>
    </w:p>
    <w:p w:rsidR="00B4040E" w:rsidRDefault="00DD3C42">
      <w:pPr>
        <w:pStyle w:val="Balk2"/>
        <w:spacing w:before="0"/>
        <w:rPr>
          <w:rFonts w:asciiTheme="minorHAnsi" w:hAnsiTheme="minorHAnsi" w:cstheme="minorHAnsi"/>
        </w:rPr>
      </w:pPr>
      <w:r>
        <w:rPr>
          <w:rFonts w:asciiTheme="minorHAnsi" w:hAnsiTheme="minorHAnsi" w:cstheme="minorHAnsi"/>
        </w:rPr>
        <w:t>SOGEP Tekliflerinin Değerlendirme Kriterleri</w:t>
      </w:r>
    </w:p>
    <w:p w:rsidR="00B4040E" w:rsidRDefault="00DD3C42">
      <w:pPr>
        <w:jc w:val="both"/>
      </w:pPr>
      <w:r>
        <w:t xml:space="preserve">Projeler </w:t>
      </w:r>
      <w:proofErr w:type="spellStart"/>
      <w:r>
        <w:rPr>
          <w:b/>
          <w:i/>
          <w:u w:val="single"/>
        </w:rPr>
        <w:t>ilgililik</w:t>
      </w:r>
      <w:proofErr w:type="spellEnd"/>
      <w:r>
        <w:rPr>
          <w:b/>
          <w:i/>
          <w:u w:val="single"/>
        </w:rPr>
        <w:t>, yöntem, kurumsal kapasite ve sürdürülebilirlik</w:t>
      </w:r>
      <w:r>
        <w:t xml:space="preserve"> ana </w:t>
      </w:r>
      <w:proofErr w:type="gramStart"/>
      <w:r>
        <w:t>kriterleri</w:t>
      </w:r>
      <w:proofErr w:type="gramEnd"/>
      <w:r>
        <w:t xml:space="preserve"> çerçevesinde değerlendirilir. Program dâhilinde, kapasite geliştirmeye yönelik, sosyal etki düzeyi yüksek, özel nitelikli model projeler desteklenir. </w:t>
      </w:r>
    </w:p>
    <w:p w:rsidR="00B4040E" w:rsidRDefault="00DD3C42">
      <w:pPr>
        <w:pStyle w:val="Balk2"/>
        <w:rPr>
          <w:rFonts w:asciiTheme="minorHAnsi" w:hAnsiTheme="minorHAnsi" w:cstheme="minorHAnsi"/>
        </w:rPr>
      </w:pPr>
      <w:r>
        <w:rPr>
          <w:rFonts w:asciiTheme="minorHAnsi" w:hAnsiTheme="minorHAnsi" w:cstheme="minorHAnsi"/>
        </w:rPr>
        <w:t>Ajansın Sorumluluk Alanı</w:t>
      </w:r>
    </w:p>
    <w:p w:rsidR="00B4040E" w:rsidRDefault="00DD3C42">
      <w:pPr>
        <w:jc w:val="both"/>
      </w:pPr>
      <w:r>
        <w:t>Ajans, Programın öncelikleri ve amacına uygun şek</w:t>
      </w:r>
      <w:r w:rsidR="009B7231">
        <w:t>ilde proje geliştirilmesi, Program</w:t>
      </w:r>
      <w:r>
        <w:t xml:space="preserve"> özel hesabının muhasebeleştirilmesi, proje iş ve işlemlerinin KAYS üzerinden takip edilmesi, projelerin değerlendirilmesi, izlenmesi ve denetlenmesi, sözleşme yönetimi, görünürlük kuralları ve proje çı</w:t>
      </w:r>
      <w:r w:rsidR="009B7231">
        <w:t>ktılarının takibi hususlarını SOGEP Uygulama</w:t>
      </w:r>
      <w:r>
        <w:t xml:space="preserve"> Usul ve Esaslar ile ilgili mevzuat hükümlerine tabi olarak yürütmekle sorumludur. Kalkınma Ajansları mevzuatında Ajans yönetim kuruluna tanınmış olan karar ve onay yetki ve görevleri sadece bu Programın gerektirdiği işlemler için Ajans Genel Sekreteri tarafından kullanılır veya kullandırılır.</w:t>
      </w:r>
    </w:p>
    <w:sectPr w:rsidR="00B404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22" w:rsidRDefault="00D24322">
      <w:pPr>
        <w:spacing w:after="0" w:line="240" w:lineRule="auto"/>
      </w:pPr>
      <w:r>
        <w:separator/>
      </w:r>
    </w:p>
  </w:endnote>
  <w:endnote w:type="continuationSeparator" w:id="0">
    <w:p w:rsidR="00D24322" w:rsidRDefault="00D2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0E" w:rsidRDefault="00B4040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3757"/>
      <w:docPartObj>
        <w:docPartGallery w:val="Page Numbers (Bottom of Page)"/>
        <w:docPartUnique/>
      </w:docPartObj>
    </w:sdtPr>
    <w:sdtEndPr/>
    <w:sdtContent>
      <w:p w:rsidR="00B4040E" w:rsidRDefault="00DD3C42">
        <w:pPr>
          <w:pStyle w:val="AltBilgi"/>
          <w:jc w:val="right"/>
        </w:pPr>
        <w:r>
          <w:fldChar w:fldCharType="begin"/>
        </w:r>
        <w:r>
          <w:instrText>PAGE   \* MERGEFORMAT</w:instrText>
        </w:r>
        <w:r>
          <w:fldChar w:fldCharType="separate"/>
        </w:r>
        <w:r w:rsidR="0047664D">
          <w:rPr>
            <w:noProof/>
          </w:rPr>
          <w:t>1</w:t>
        </w:r>
        <w:r>
          <w:fldChar w:fldCharType="end"/>
        </w:r>
        <w:r>
          <w:t xml:space="preserve"> / 3</w:t>
        </w:r>
      </w:p>
    </w:sdtContent>
  </w:sdt>
  <w:p w:rsidR="00B4040E" w:rsidRDefault="00B4040E">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0E" w:rsidRDefault="00B404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22" w:rsidRDefault="00D24322">
      <w:pPr>
        <w:spacing w:after="0" w:line="240" w:lineRule="auto"/>
      </w:pPr>
      <w:r>
        <w:separator/>
      </w:r>
    </w:p>
  </w:footnote>
  <w:footnote w:type="continuationSeparator" w:id="0">
    <w:p w:rsidR="00D24322" w:rsidRDefault="00D24322">
      <w:pPr>
        <w:spacing w:after="0" w:line="240" w:lineRule="auto"/>
      </w:pPr>
      <w:r>
        <w:continuationSeparator/>
      </w:r>
    </w:p>
  </w:footnote>
  <w:footnote w:id="1">
    <w:p w:rsidR="00B4040E" w:rsidRDefault="00DD3C42">
      <w:pPr>
        <w:pStyle w:val="DipnotMetni"/>
        <w:jc w:val="both"/>
      </w:pPr>
      <w:r>
        <w:rPr>
          <w:rStyle w:val="DipnotBavurusu"/>
        </w:rPr>
        <w:footnoteRef/>
      </w:r>
      <w:r>
        <w:t xml:space="preserve"> Sosyal girişimcilik projeleri: Öncelikli olarak toplumsal bir sorunun ortadan kaldırılması veya toplumsal bir ihtiyacın giderilmesi amacıyla bir işletme ve gelir modeli çerçevesinde yenilikçi ve kalıcı çözümler geliştirmeye yönelik olarak yürütülen faaliyetleri içeren projelerdir.</w:t>
      </w:r>
    </w:p>
  </w:footnote>
  <w:footnote w:id="2">
    <w:p w:rsidR="00B4040E" w:rsidRDefault="00DD3C42">
      <w:pPr>
        <w:pStyle w:val="DipnotMetni"/>
        <w:jc w:val="both"/>
      </w:pPr>
      <w:r>
        <w:rPr>
          <w:rStyle w:val="DipnotBavurusu"/>
        </w:rPr>
        <w:footnoteRef/>
      </w:r>
      <w:r>
        <w:t xml:space="preserve"> </w:t>
      </w:r>
      <w:proofErr w:type="gramStart"/>
      <w:r>
        <w:t>Sosyal içerme projeleri: Dezavantajlı grup veya bireylerin ekonomik ve sosyal hayata katılımını sağlamaya, yoksulluğun azaltılması, sosyal yardım alan yoksul kesimin kendi geçimini temin edecek duruma getirilmesine destek olunmasına, yaşlı, engelli, kadın ve çocuklar gibi toplumun dezavantajlı kesimlerinin yaşam standartlarının yükseltilmesi ve bu kesimin kamusal hizmetlere erişimini artırmaya, sağlanan hizmetlerin kalitesinin artırılmasına, fırsat eşitliği ilkesi çerçevesinde toplumsal bütünleşmenin sağlanmasına yönelik projelerdir.</w:t>
      </w:r>
      <w:proofErr w:type="gramEnd"/>
    </w:p>
  </w:footnote>
  <w:footnote w:id="3">
    <w:p w:rsidR="00B4040E" w:rsidRDefault="00DD3C42">
      <w:pPr>
        <w:pStyle w:val="DipnotMetni"/>
        <w:jc w:val="both"/>
      </w:pPr>
      <w:r>
        <w:rPr>
          <w:rStyle w:val="DipnotBavurusu"/>
        </w:rPr>
        <w:footnoteRef/>
      </w:r>
      <w:r>
        <w:t xml:space="preserve"> Sosyal sorumluluk projeleri: Kâr amacı güden kuruluşların, belirtilen öncelik alanlarına ilişkin sosyal bir sorunun çözümüne yönelik faaliyetlerini içeren projelerdir.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0E" w:rsidRDefault="00B4040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0E" w:rsidRDefault="00B4040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40E" w:rsidRDefault="00B4040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5E9"/>
    <w:multiLevelType w:val="hybridMultilevel"/>
    <w:tmpl w:val="B7AA8E74"/>
    <w:lvl w:ilvl="0" w:tplc="763EA21E">
      <w:start w:val="1"/>
      <w:numFmt w:val="bullet"/>
      <w:lvlText w:val=""/>
      <w:lvlJc w:val="left"/>
      <w:pPr>
        <w:ind w:left="720" w:hanging="360"/>
      </w:pPr>
      <w:rPr>
        <w:rFonts w:ascii="Symbol" w:hAnsi="Symbol" w:hint="default"/>
      </w:rPr>
    </w:lvl>
    <w:lvl w:ilvl="1" w:tplc="F464298C">
      <w:start w:val="1"/>
      <w:numFmt w:val="bullet"/>
      <w:lvlText w:val="o"/>
      <w:lvlJc w:val="left"/>
      <w:pPr>
        <w:ind w:left="1440" w:hanging="360"/>
      </w:pPr>
      <w:rPr>
        <w:rFonts w:ascii="Courier New" w:hAnsi="Courier New" w:cs="Courier New" w:hint="default"/>
      </w:rPr>
    </w:lvl>
    <w:lvl w:ilvl="2" w:tplc="3E4C7D04">
      <w:start w:val="1"/>
      <w:numFmt w:val="bullet"/>
      <w:lvlText w:val=""/>
      <w:lvlJc w:val="left"/>
      <w:pPr>
        <w:ind w:left="2160" w:hanging="360"/>
      </w:pPr>
      <w:rPr>
        <w:rFonts w:ascii="Wingdings" w:hAnsi="Wingdings" w:hint="default"/>
      </w:rPr>
    </w:lvl>
    <w:lvl w:ilvl="3" w:tplc="6E425A50">
      <w:start w:val="1"/>
      <w:numFmt w:val="bullet"/>
      <w:lvlText w:val=""/>
      <w:lvlJc w:val="left"/>
      <w:pPr>
        <w:ind w:left="2880" w:hanging="360"/>
      </w:pPr>
      <w:rPr>
        <w:rFonts w:ascii="Symbol" w:hAnsi="Symbol" w:hint="default"/>
      </w:rPr>
    </w:lvl>
    <w:lvl w:ilvl="4" w:tplc="1AF22ECC">
      <w:start w:val="1"/>
      <w:numFmt w:val="bullet"/>
      <w:lvlText w:val="o"/>
      <w:lvlJc w:val="left"/>
      <w:pPr>
        <w:ind w:left="3600" w:hanging="360"/>
      </w:pPr>
      <w:rPr>
        <w:rFonts w:ascii="Courier New" w:hAnsi="Courier New" w:cs="Courier New" w:hint="default"/>
      </w:rPr>
    </w:lvl>
    <w:lvl w:ilvl="5" w:tplc="99BC3598">
      <w:start w:val="1"/>
      <w:numFmt w:val="bullet"/>
      <w:lvlText w:val=""/>
      <w:lvlJc w:val="left"/>
      <w:pPr>
        <w:ind w:left="4320" w:hanging="360"/>
      </w:pPr>
      <w:rPr>
        <w:rFonts w:ascii="Wingdings" w:hAnsi="Wingdings" w:hint="default"/>
      </w:rPr>
    </w:lvl>
    <w:lvl w:ilvl="6" w:tplc="53F8C890">
      <w:start w:val="1"/>
      <w:numFmt w:val="bullet"/>
      <w:lvlText w:val=""/>
      <w:lvlJc w:val="left"/>
      <w:pPr>
        <w:ind w:left="5040" w:hanging="360"/>
      </w:pPr>
      <w:rPr>
        <w:rFonts w:ascii="Symbol" w:hAnsi="Symbol" w:hint="default"/>
      </w:rPr>
    </w:lvl>
    <w:lvl w:ilvl="7" w:tplc="B82CE0D4">
      <w:start w:val="1"/>
      <w:numFmt w:val="bullet"/>
      <w:lvlText w:val="o"/>
      <w:lvlJc w:val="left"/>
      <w:pPr>
        <w:ind w:left="5760" w:hanging="360"/>
      </w:pPr>
      <w:rPr>
        <w:rFonts w:ascii="Courier New" w:hAnsi="Courier New" w:cs="Courier New" w:hint="default"/>
      </w:rPr>
    </w:lvl>
    <w:lvl w:ilvl="8" w:tplc="B1BE37FE">
      <w:start w:val="1"/>
      <w:numFmt w:val="bullet"/>
      <w:lvlText w:val=""/>
      <w:lvlJc w:val="left"/>
      <w:pPr>
        <w:ind w:left="6480" w:hanging="360"/>
      </w:pPr>
      <w:rPr>
        <w:rFonts w:ascii="Wingdings" w:hAnsi="Wingdings" w:hint="default"/>
      </w:rPr>
    </w:lvl>
  </w:abstractNum>
  <w:abstractNum w:abstractNumId="1" w15:restartNumberingAfterBreak="0">
    <w:nsid w:val="23C20964"/>
    <w:multiLevelType w:val="hybridMultilevel"/>
    <w:tmpl w:val="D63C76C2"/>
    <w:lvl w:ilvl="0" w:tplc="7890C1BA">
      <w:start w:val="1"/>
      <w:numFmt w:val="bullet"/>
      <w:lvlText w:val=""/>
      <w:lvlJc w:val="left"/>
      <w:pPr>
        <w:ind w:left="720" w:hanging="360"/>
      </w:pPr>
      <w:rPr>
        <w:rFonts w:ascii="Wingdings" w:hAnsi="Wingdings" w:hint="default"/>
      </w:rPr>
    </w:lvl>
    <w:lvl w:ilvl="1" w:tplc="88E2E806">
      <w:start w:val="1"/>
      <w:numFmt w:val="bullet"/>
      <w:lvlText w:val="o"/>
      <w:lvlJc w:val="left"/>
      <w:pPr>
        <w:ind w:left="1440" w:hanging="360"/>
      </w:pPr>
      <w:rPr>
        <w:rFonts w:ascii="Courier New" w:hAnsi="Courier New" w:cs="Courier New" w:hint="default"/>
      </w:rPr>
    </w:lvl>
    <w:lvl w:ilvl="2" w:tplc="F0965CE4">
      <w:start w:val="1"/>
      <w:numFmt w:val="bullet"/>
      <w:lvlText w:val=""/>
      <w:lvlJc w:val="left"/>
      <w:pPr>
        <w:ind w:left="2160" w:hanging="360"/>
      </w:pPr>
      <w:rPr>
        <w:rFonts w:ascii="Wingdings" w:hAnsi="Wingdings" w:hint="default"/>
      </w:rPr>
    </w:lvl>
    <w:lvl w:ilvl="3" w:tplc="ECECC758">
      <w:start w:val="1"/>
      <w:numFmt w:val="bullet"/>
      <w:lvlText w:val=""/>
      <w:lvlJc w:val="left"/>
      <w:pPr>
        <w:ind w:left="2880" w:hanging="360"/>
      </w:pPr>
      <w:rPr>
        <w:rFonts w:ascii="Symbol" w:hAnsi="Symbol" w:hint="default"/>
      </w:rPr>
    </w:lvl>
    <w:lvl w:ilvl="4" w:tplc="354CFE38">
      <w:start w:val="1"/>
      <w:numFmt w:val="bullet"/>
      <w:lvlText w:val="o"/>
      <w:lvlJc w:val="left"/>
      <w:pPr>
        <w:ind w:left="3600" w:hanging="360"/>
      </w:pPr>
      <w:rPr>
        <w:rFonts w:ascii="Courier New" w:hAnsi="Courier New" w:cs="Courier New" w:hint="default"/>
      </w:rPr>
    </w:lvl>
    <w:lvl w:ilvl="5" w:tplc="6DDABFF6">
      <w:start w:val="1"/>
      <w:numFmt w:val="bullet"/>
      <w:lvlText w:val=""/>
      <w:lvlJc w:val="left"/>
      <w:pPr>
        <w:ind w:left="4320" w:hanging="360"/>
      </w:pPr>
      <w:rPr>
        <w:rFonts w:ascii="Wingdings" w:hAnsi="Wingdings" w:hint="default"/>
      </w:rPr>
    </w:lvl>
    <w:lvl w:ilvl="6" w:tplc="B25C0E6E">
      <w:start w:val="1"/>
      <w:numFmt w:val="bullet"/>
      <w:lvlText w:val=""/>
      <w:lvlJc w:val="left"/>
      <w:pPr>
        <w:ind w:left="5040" w:hanging="360"/>
      </w:pPr>
      <w:rPr>
        <w:rFonts w:ascii="Symbol" w:hAnsi="Symbol" w:hint="default"/>
      </w:rPr>
    </w:lvl>
    <w:lvl w:ilvl="7" w:tplc="DA4C51BC">
      <w:start w:val="1"/>
      <w:numFmt w:val="bullet"/>
      <w:lvlText w:val="o"/>
      <w:lvlJc w:val="left"/>
      <w:pPr>
        <w:ind w:left="5760" w:hanging="360"/>
      </w:pPr>
      <w:rPr>
        <w:rFonts w:ascii="Courier New" w:hAnsi="Courier New" w:cs="Courier New" w:hint="default"/>
      </w:rPr>
    </w:lvl>
    <w:lvl w:ilvl="8" w:tplc="2F4826F0">
      <w:start w:val="1"/>
      <w:numFmt w:val="bullet"/>
      <w:lvlText w:val=""/>
      <w:lvlJc w:val="left"/>
      <w:pPr>
        <w:ind w:left="6480" w:hanging="360"/>
      </w:pPr>
      <w:rPr>
        <w:rFonts w:ascii="Wingdings" w:hAnsi="Wingdings" w:hint="default"/>
      </w:rPr>
    </w:lvl>
  </w:abstractNum>
  <w:abstractNum w:abstractNumId="2" w15:restartNumberingAfterBreak="0">
    <w:nsid w:val="25351D64"/>
    <w:multiLevelType w:val="hybridMultilevel"/>
    <w:tmpl w:val="78003B00"/>
    <w:lvl w:ilvl="0" w:tplc="FD56570E">
      <w:start w:val="1"/>
      <w:numFmt w:val="bullet"/>
      <w:lvlText w:val=""/>
      <w:lvlJc w:val="left"/>
      <w:pPr>
        <w:ind w:left="774" w:hanging="360"/>
      </w:pPr>
      <w:rPr>
        <w:rFonts w:ascii="Wingdings" w:hAnsi="Wingdings" w:hint="default"/>
      </w:rPr>
    </w:lvl>
    <w:lvl w:ilvl="1" w:tplc="159EAE34">
      <w:start w:val="1"/>
      <w:numFmt w:val="bullet"/>
      <w:lvlText w:val="o"/>
      <w:lvlJc w:val="left"/>
      <w:pPr>
        <w:ind w:left="1494" w:hanging="360"/>
      </w:pPr>
      <w:rPr>
        <w:rFonts w:ascii="Courier New" w:hAnsi="Courier New" w:cs="Courier New" w:hint="default"/>
      </w:rPr>
    </w:lvl>
    <w:lvl w:ilvl="2" w:tplc="797ADD38">
      <w:start w:val="1"/>
      <w:numFmt w:val="bullet"/>
      <w:lvlText w:val=""/>
      <w:lvlJc w:val="left"/>
      <w:pPr>
        <w:ind w:left="2214" w:hanging="360"/>
      </w:pPr>
      <w:rPr>
        <w:rFonts w:ascii="Wingdings" w:hAnsi="Wingdings" w:hint="default"/>
      </w:rPr>
    </w:lvl>
    <w:lvl w:ilvl="3" w:tplc="6AACA644">
      <w:start w:val="1"/>
      <w:numFmt w:val="bullet"/>
      <w:lvlText w:val=""/>
      <w:lvlJc w:val="left"/>
      <w:pPr>
        <w:ind w:left="2934" w:hanging="360"/>
      </w:pPr>
      <w:rPr>
        <w:rFonts w:ascii="Symbol" w:hAnsi="Symbol" w:hint="default"/>
      </w:rPr>
    </w:lvl>
    <w:lvl w:ilvl="4" w:tplc="FF063B06">
      <w:start w:val="1"/>
      <w:numFmt w:val="bullet"/>
      <w:lvlText w:val="o"/>
      <w:lvlJc w:val="left"/>
      <w:pPr>
        <w:ind w:left="3654" w:hanging="360"/>
      </w:pPr>
      <w:rPr>
        <w:rFonts w:ascii="Courier New" w:hAnsi="Courier New" w:cs="Courier New" w:hint="default"/>
      </w:rPr>
    </w:lvl>
    <w:lvl w:ilvl="5" w:tplc="B18854BA">
      <w:start w:val="1"/>
      <w:numFmt w:val="bullet"/>
      <w:lvlText w:val=""/>
      <w:lvlJc w:val="left"/>
      <w:pPr>
        <w:ind w:left="4374" w:hanging="360"/>
      </w:pPr>
      <w:rPr>
        <w:rFonts w:ascii="Wingdings" w:hAnsi="Wingdings" w:hint="default"/>
      </w:rPr>
    </w:lvl>
    <w:lvl w:ilvl="6" w:tplc="DC0C7862">
      <w:start w:val="1"/>
      <w:numFmt w:val="bullet"/>
      <w:lvlText w:val=""/>
      <w:lvlJc w:val="left"/>
      <w:pPr>
        <w:ind w:left="5094" w:hanging="360"/>
      </w:pPr>
      <w:rPr>
        <w:rFonts w:ascii="Symbol" w:hAnsi="Symbol" w:hint="default"/>
      </w:rPr>
    </w:lvl>
    <w:lvl w:ilvl="7" w:tplc="ED3EE6F2">
      <w:start w:val="1"/>
      <w:numFmt w:val="bullet"/>
      <w:lvlText w:val="o"/>
      <w:lvlJc w:val="left"/>
      <w:pPr>
        <w:ind w:left="5814" w:hanging="360"/>
      </w:pPr>
      <w:rPr>
        <w:rFonts w:ascii="Courier New" w:hAnsi="Courier New" w:cs="Courier New" w:hint="default"/>
      </w:rPr>
    </w:lvl>
    <w:lvl w:ilvl="8" w:tplc="6EAE9F74">
      <w:start w:val="1"/>
      <w:numFmt w:val="bullet"/>
      <w:lvlText w:val=""/>
      <w:lvlJc w:val="left"/>
      <w:pPr>
        <w:ind w:left="6534" w:hanging="360"/>
      </w:pPr>
      <w:rPr>
        <w:rFonts w:ascii="Wingdings" w:hAnsi="Wingdings" w:hint="default"/>
      </w:rPr>
    </w:lvl>
  </w:abstractNum>
  <w:abstractNum w:abstractNumId="3" w15:restartNumberingAfterBreak="0">
    <w:nsid w:val="313168D2"/>
    <w:multiLevelType w:val="hybridMultilevel"/>
    <w:tmpl w:val="2EB092F2"/>
    <w:lvl w:ilvl="0" w:tplc="C76CFA34">
      <w:start w:val="1"/>
      <w:numFmt w:val="bullet"/>
      <w:lvlText w:val=""/>
      <w:lvlJc w:val="left"/>
      <w:pPr>
        <w:tabs>
          <w:tab w:val="num" w:pos="720"/>
        </w:tabs>
        <w:ind w:left="720" w:hanging="360"/>
      </w:pPr>
      <w:rPr>
        <w:rFonts w:ascii="Symbol" w:hAnsi="Symbol" w:hint="default"/>
        <w:sz w:val="20"/>
      </w:rPr>
    </w:lvl>
    <w:lvl w:ilvl="1" w:tplc="54862804">
      <w:start w:val="1"/>
      <w:numFmt w:val="bullet"/>
      <w:lvlText w:val=""/>
      <w:lvlJc w:val="left"/>
      <w:pPr>
        <w:tabs>
          <w:tab w:val="num" w:pos="1440"/>
        </w:tabs>
        <w:ind w:left="1440" w:hanging="360"/>
      </w:pPr>
      <w:rPr>
        <w:rFonts w:ascii="Symbol" w:hAnsi="Symbol" w:hint="default"/>
        <w:sz w:val="20"/>
      </w:rPr>
    </w:lvl>
    <w:lvl w:ilvl="2" w:tplc="A296DF78">
      <w:start w:val="1"/>
      <w:numFmt w:val="bullet"/>
      <w:lvlText w:val=""/>
      <w:lvlJc w:val="left"/>
      <w:pPr>
        <w:tabs>
          <w:tab w:val="num" w:pos="2160"/>
        </w:tabs>
        <w:ind w:left="2160" w:hanging="360"/>
      </w:pPr>
      <w:rPr>
        <w:rFonts w:ascii="Symbol" w:hAnsi="Symbol" w:hint="default"/>
        <w:sz w:val="20"/>
      </w:rPr>
    </w:lvl>
    <w:lvl w:ilvl="3" w:tplc="9DC0678A">
      <w:start w:val="1"/>
      <w:numFmt w:val="bullet"/>
      <w:lvlText w:val=""/>
      <w:lvlJc w:val="left"/>
      <w:pPr>
        <w:tabs>
          <w:tab w:val="num" w:pos="2880"/>
        </w:tabs>
        <w:ind w:left="2880" w:hanging="360"/>
      </w:pPr>
      <w:rPr>
        <w:rFonts w:ascii="Symbol" w:hAnsi="Symbol" w:hint="default"/>
        <w:sz w:val="20"/>
      </w:rPr>
    </w:lvl>
    <w:lvl w:ilvl="4" w:tplc="8D465B56">
      <w:start w:val="1"/>
      <w:numFmt w:val="bullet"/>
      <w:lvlText w:val=""/>
      <w:lvlJc w:val="left"/>
      <w:pPr>
        <w:tabs>
          <w:tab w:val="num" w:pos="3600"/>
        </w:tabs>
        <w:ind w:left="3600" w:hanging="360"/>
      </w:pPr>
      <w:rPr>
        <w:rFonts w:ascii="Symbol" w:hAnsi="Symbol" w:hint="default"/>
        <w:sz w:val="20"/>
      </w:rPr>
    </w:lvl>
    <w:lvl w:ilvl="5" w:tplc="57A23EE2">
      <w:start w:val="1"/>
      <w:numFmt w:val="bullet"/>
      <w:lvlText w:val=""/>
      <w:lvlJc w:val="left"/>
      <w:pPr>
        <w:tabs>
          <w:tab w:val="num" w:pos="4320"/>
        </w:tabs>
        <w:ind w:left="4320" w:hanging="360"/>
      </w:pPr>
      <w:rPr>
        <w:rFonts w:ascii="Symbol" w:hAnsi="Symbol" w:hint="default"/>
        <w:sz w:val="20"/>
      </w:rPr>
    </w:lvl>
    <w:lvl w:ilvl="6" w:tplc="CD04AEF8">
      <w:start w:val="1"/>
      <w:numFmt w:val="bullet"/>
      <w:lvlText w:val=""/>
      <w:lvlJc w:val="left"/>
      <w:pPr>
        <w:tabs>
          <w:tab w:val="num" w:pos="5040"/>
        </w:tabs>
        <w:ind w:left="5040" w:hanging="360"/>
      </w:pPr>
      <w:rPr>
        <w:rFonts w:ascii="Symbol" w:hAnsi="Symbol" w:hint="default"/>
        <w:sz w:val="20"/>
      </w:rPr>
    </w:lvl>
    <w:lvl w:ilvl="7" w:tplc="0DE8BAD8">
      <w:start w:val="1"/>
      <w:numFmt w:val="bullet"/>
      <w:lvlText w:val=""/>
      <w:lvlJc w:val="left"/>
      <w:pPr>
        <w:tabs>
          <w:tab w:val="num" w:pos="5760"/>
        </w:tabs>
        <w:ind w:left="5760" w:hanging="360"/>
      </w:pPr>
      <w:rPr>
        <w:rFonts w:ascii="Symbol" w:hAnsi="Symbol" w:hint="default"/>
        <w:sz w:val="20"/>
      </w:rPr>
    </w:lvl>
    <w:lvl w:ilvl="8" w:tplc="6B22669A">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5E42A5"/>
    <w:multiLevelType w:val="hybridMultilevel"/>
    <w:tmpl w:val="11788D96"/>
    <w:lvl w:ilvl="0" w:tplc="2E467E2A">
      <w:start w:val="3"/>
      <w:numFmt w:val="decimal"/>
      <w:suff w:val="space"/>
      <w:lvlText w:val="(%1)"/>
      <w:lvlJc w:val="left"/>
      <w:pPr>
        <w:ind w:left="720" w:hanging="360"/>
      </w:pPr>
      <w:rPr>
        <w:rFonts w:hint="default"/>
      </w:rPr>
    </w:lvl>
    <w:lvl w:ilvl="1" w:tplc="7B0C2258">
      <w:start w:val="1"/>
      <w:numFmt w:val="lowerLetter"/>
      <w:lvlText w:val="%2."/>
      <w:lvlJc w:val="left"/>
      <w:pPr>
        <w:ind w:left="1440" w:hanging="360"/>
      </w:pPr>
    </w:lvl>
    <w:lvl w:ilvl="2" w:tplc="DDDE1CD4">
      <w:start w:val="1"/>
      <w:numFmt w:val="lowerRoman"/>
      <w:lvlText w:val="%3."/>
      <w:lvlJc w:val="right"/>
      <w:pPr>
        <w:ind w:left="2160" w:hanging="180"/>
      </w:pPr>
    </w:lvl>
    <w:lvl w:ilvl="3" w:tplc="6D2489A4">
      <w:start w:val="1"/>
      <w:numFmt w:val="decimal"/>
      <w:lvlText w:val="%4."/>
      <w:lvlJc w:val="left"/>
      <w:pPr>
        <w:ind w:left="2880" w:hanging="360"/>
      </w:pPr>
    </w:lvl>
    <w:lvl w:ilvl="4" w:tplc="BC4429AE">
      <w:start w:val="1"/>
      <w:numFmt w:val="lowerLetter"/>
      <w:lvlText w:val="%5."/>
      <w:lvlJc w:val="left"/>
      <w:pPr>
        <w:ind w:left="3600" w:hanging="360"/>
      </w:pPr>
    </w:lvl>
    <w:lvl w:ilvl="5" w:tplc="55224BD2">
      <w:start w:val="1"/>
      <w:numFmt w:val="lowerRoman"/>
      <w:lvlText w:val="%6."/>
      <w:lvlJc w:val="right"/>
      <w:pPr>
        <w:ind w:left="4320" w:hanging="180"/>
      </w:pPr>
    </w:lvl>
    <w:lvl w:ilvl="6" w:tplc="3A68242E">
      <w:start w:val="1"/>
      <w:numFmt w:val="decimal"/>
      <w:lvlText w:val="%7."/>
      <w:lvlJc w:val="left"/>
      <w:pPr>
        <w:ind w:left="5040" w:hanging="360"/>
      </w:pPr>
    </w:lvl>
    <w:lvl w:ilvl="7" w:tplc="4F00499A">
      <w:start w:val="1"/>
      <w:numFmt w:val="lowerLetter"/>
      <w:lvlText w:val="%8."/>
      <w:lvlJc w:val="left"/>
      <w:pPr>
        <w:ind w:left="5760" w:hanging="360"/>
      </w:pPr>
    </w:lvl>
    <w:lvl w:ilvl="8" w:tplc="E93AE4C0">
      <w:start w:val="1"/>
      <w:numFmt w:val="lowerRoman"/>
      <w:lvlText w:val="%9."/>
      <w:lvlJc w:val="right"/>
      <w:pPr>
        <w:ind w:left="6480" w:hanging="180"/>
      </w:pPr>
    </w:lvl>
  </w:abstractNum>
  <w:abstractNum w:abstractNumId="5" w15:restartNumberingAfterBreak="0">
    <w:nsid w:val="57DE2E65"/>
    <w:multiLevelType w:val="hybridMultilevel"/>
    <w:tmpl w:val="134A41D2"/>
    <w:lvl w:ilvl="0" w:tplc="A34AD272">
      <w:start w:val="1"/>
      <w:numFmt w:val="bullet"/>
      <w:lvlText w:val=""/>
      <w:lvlJc w:val="left"/>
      <w:pPr>
        <w:ind w:left="720" w:hanging="360"/>
      </w:pPr>
      <w:rPr>
        <w:rFonts w:ascii="Symbol" w:hAnsi="Symbol" w:hint="default"/>
      </w:rPr>
    </w:lvl>
    <w:lvl w:ilvl="1" w:tplc="DC6E2222">
      <w:start w:val="1"/>
      <w:numFmt w:val="bullet"/>
      <w:lvlText w:val="o"/>
      <w:lvlJc w:val="left"/>
      <w:pPr>
        <w:ind w:left="1440" w:hanging="360"/>
      </w:pPr>
      <w:rPr>
        <w:rFonts w:ascii="Courier New" w:hAnsi="Courier New" w:cs="Courier New" w:hint="default"/>
      </w:rPr>
    </w:lvl>
    <w:lvl w:ilvl="2" w:tplc="E4784D9E">
      <w:start w:val="1"/>
      <w:numFmt w:val="bullet"/>
      <w:lvlText w:val=""/>
      <w:lvlJc w:val="left"/>
      <w:pPr>
        <w:ind w:left="2160" w:hanging="360"/>
      </w:pPr>
      <w:rPr>
        <w:rFonts w:ascii="Wingdings" w:hAnsi="Wingdings" w:hint="default"/>
      </w:rPr>
    </w:lvl>
    <w:lvl w:ilvl="3" w:tplc="FB1873C0">
      <w:start w:val="1"/>
      <w:numFmt w:val="bullet"/>
      <w:lvlText w:val=""/>
      <w:lvlJc w:val="left"/>
      <w:pPr>
        <w:ind w:left="2880" w:hanging="360"/>
      </w:pPr>
      <w:rPr>
        <w:rFonts w:ascii="Symbol" w:hAnsi="Symbol" w:hint="default"/>
      </w:rPr>
    </w:lvl>
    <w:lvl w:ilvl="4" w:tplc="0CAC8CA2">
      <w:start w:val="1"/>
      <w:numFmt w:val="bullet"/>
      <w:lvlText w:val="o"/>
      <w:lvlJc w:val="left"/>
      <w:pPr>
        <w:ind w:left="3600" w:hanging="360"/>
      </w:pPr>
      <w:rPr>
        <w:rFonts w:ascii="Courier New" w:hAnsi="Courier New" w:cs="Courier New" w:hint="default"/>
      </w:rPr>
    </w:lvl>
    <w:lvl w:ilvl="5" w:tplc="A69A043C">
      <w:start w:val="1"/>
      <w:numFmt w:val="bullet"/>
      <w:lvlText w:val=""/>
      <w:lvlJc w:val="left"/>
      <w:pPr>
        <w:ind w:left="4320" w:hanging="360"/>
      </w:pPr>
      <w:rPr>
        <w:rFonts w:ascii="Wingdings" w:hAnsi="Wingdings" w:hint="default"/>
      </w:rPr>
    </w:lvl>
    <w:lvl w:ilvl="6" w:tplc="E25213E6">
      <w:start w:val="1"/>
      <w:numFmt w:val="bullet"/>
      <w:lvlText w:val=""/>
      <w:lvlJc w:val="left"/>
      <w:pPr>
        <w:ind w:left="5040" w:hanging="360"/>
      </w:pPr>
      <w:rPr>
        <w:rFonts w:ascii="Symbol" w:hAnsi="Symbol" w:hint="default"/>
      </w:rPr>
    </w:lvl>
    <w:lvl w:ilvl="7" w:tplc="D7CC2BFE">
      <w:start w:val="1"/>
      <w:numFmt w:val="bullet"/>
      <w:lvlText w:val="o"/>
      <w:lvlJc w:val="left"/>
      <w:pPr>
        <w:ind w:left="5760" w:hanging="360"/>
      </w:pPr>
      <w:rPr>
        <w:rFonts w:ascii="Courier New" w:hAnsi="Courier New" w:cs="Courier New" w:hint="default"/>
      </w:rPr>
    </w:lvl>
    <w:lvl w:ilvl="8" w:tplc="33C43750">
      <w:start w:val="1"/>
      <w:numFmt w:val="bullet"/>
      <w:lvlText w:val=""/>
      <w:lvlJc w:val="left"/>
      <w:pPr>
        <w:ind w:left="6480" w:hanging="360"/>
      </w:pPr>
      <w:rPr>
        <w:rFonts w:ascii="Wingdings" w:hAnsi="Wingdings" w:hint="default"/>
      </w:rPr>
    </w:lvl>
  </w:abstractNum>
  <w:abstractNum w:abstractNumId="6" w15:restartNumberingAfterBreak="0">
    <w:nsid w:val="59931F3A"/>
    <w:multiLevelType w:val="hybridMultilevel"/>
    <w:tmpl w:val="6EB80938"/>
    <w:lvl w:ilvl="0" w:tplc="F978F2A2">
      <w:start w:val="1"/>
      <w:numFmt w:val="bullet"/>
      <w:lvlText w:val=""/>
      <w:lvlJc w:val="left"/>
      <w:pPr>
        <w:ind w:left="720" w:hanging="360"/>
      </w:pPr>
      <w:rPr>
        <w:rFonts w:ascii="Symbol" w:hAnsi="Symbol" w:hint="default"/>
      </w:rPr>
    </w:lvl>
    <w:lvl w:ilvl="1" w:tplc="C602E7C2">
      <w:start w:val="1"/>
      <w:numFmt w:val="bullet"/>
      <w:lvlText w:val="o"/>
      <w:lvlJc w:val="left"/>
      <w:pPr>
        <w:ind w:left="1440" w:hanging="360"/>
      </w:pPr>
      <w:rPr>
        <w:rFonts w:ascii="Courier New" w:hAnsi="Courier New" w:cs="Courier New" w:hint="default"/>
      </w:rPr>
    </w:lvl>
    <w:lvl w:ilvl="2" w:tplc="8080226A">
      <w:start w:val="1"/>
      <w:numFmt w:val="bullet"/>
      <w:lvlText w:val=""/>
      <w:lvlJc w:val="left"/>
      <w:pPr>
        <w:ind w:left="2160" w:hanging="360"/>
      </w:pPr>
      <w:rPr>
        <w:rFonts w:ascii="Wingdings" w:hAnsi="Wingdings" w:hint="default"/>
      </w:rPr>
    </w:lvl>
    <w:lvl w:ilvl="3" w:tplc="94EE05AC">
      <w:start w:val="1"/>
      <w:numFmt w:val="bullet"/>
      <w:lvlText w:val=""/>
      <w:lvlJc w:val="left"/>
      <w:pPr>
        <w:ind w:left="2880" w:hanging="360"/>
      </w:pPr>
      <w:rPr>
        <w:rFonts w:ascii="Symbol" w:hAnsi="Symbol" w:hint="default"/>
      </w:rPr>
    </w:lvl>
    <w:lvl w:ilvl="4" w:tplc="E1366E6A">
      <w:start w:val="1"/>
      <w:numFmt w:val="bullet"/>
      <w:lvlText w:val="o"/>
      <w:lvlJc w:val="left"/>
      <w:pPr>
        <w:ind w:left="3600" w:hanging="360"/>
      </w:pPr>
      <w:rPr>
        <w:rFonts w:ascii="Courier New" w:hAnsi="Courier New" w:cs="Courier New" w:hint="default"/>
      </w:rPr>
    </w:lvl>
    <w:lvl w:ilvl="5" w:tplc="386A8A62">
      <w:start w:val="1"/>
      <w:numFmt w:val="bullet"/>
      <w:lvlText w:val=""/>
      <w:lvlJc w:val="left"/>
      <w:pPr>
        <w:ind w:left="4320" w:hanging="360"/>
      </w:pPr>
      <w:rPr>
        <w:rFonts w:ascii="Wingdings" w:hAnsi="Wingdings" w:hint="default"/>
      </w:rPr>
    </w:lvl>
    <w:lvl w:ilvl="6" w:tplc="7966B704">
      <w:start w:val="1"/>
      <w:numFmt w:val="bullet"/>
      <w:lvlText w:val=""/>
      <w:lvlJc w:val="left"/>
      <w:pPr>
        <w:ind w:left="5040" w:hanging="360"/>
      </w:pPr>
      <w:rPr>
        <w:rFonts w:ascii="Symbol" w:hAnsi="Symbol" w:hint="default"/>
      </w:rPr>
    </w:lvl>
    <w:lvl w:ilvl="7" w:tplc="CCE28F2E">
      <w:start w:val="1"/>
      <w:numFmt w:val="bullet"/>
      <w:lvlText w:val="o"/>
      <w:lvlJc w:val="left"/>
      <w:pPr>
        <w:ind w:left="5760" w:hanging="360"/>
      </w:pPr>
      <w:rPr>
        <w:rFonts w:ascii="Courier New" w:hAnsi="Courier New" w:cs="Courier New" w:hint="default"/>
      </w:rPr>
    </w:lvl>
    <w:lvl w:ilvl="8" w:tplc="67C0B69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0E"/>
    <w:rsid w:val="00014874"/>
    <w:rsid w:val="00144283"/>
    <w:rsid w:val="00261E0F"/>
    <w:rsid w:val="00341057"/>
    <w:rsid w:val="0047664D"/>
    <w:rsid w:val="007F444A"/>
    <w:rsid w:val="009B7231"/>
    <w:rsid w:val="00A27DA1"/>
    <w:rsid w:val="00B4040E"/>
    <w:rsid w:val="00D24322"/>
    <w:rsid w:val="00DD3C42"/>
    <w:rsid w:val="00F6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3CD9"/>
  <w15:docId w15:val="{27DF82C9-3F43-47B0-9D64-36C79730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pPr>
      <w:keepNext/>
      <w:keepLines/>
      <w:spacing w:before="32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
    <w:rPr>
      <w:rFonts w:ascii="Arial" w:eastAsia="Arial" w:hAnsi="Arial" w:cs="Arial"/>
      <w:sz w:val="40"/>
      <w:szCs w:val="40"/>
    </w:rPr>
  </w:style>
  <w:style w:type="character" w:customStyle="1" w:styleId="Heading2Char">
    <w:name w:val="Heading 2 Char"/>
    <w:basedOn w:val="VarsaylanParagrafYazTipi"/>
    <w:uiPriority w:val="9"/>
    <w:rPr>
      <w:rFonts w:ascii="Arial" w:eastAsia="Arial" w:hAnsi="Arial" w:cs="Arial"/>
      <w:sz w:val="34"/>
    </w:rPr>
  </w:style>
  <w:style w:type="character" w:customStyle="1" w:styleId="Heading3Char">
    <w:name w:val="Heading 3 Char"/>
    <w:basedOn w:val="VarsaylanParagrafYazTipi"/>
    <w:uiPriority w:val="9"/>
    <w:rPr>
      <w:rFonts w:ascii="Arial" w:eastAsia="Arial" w:hAnsi="Arial" w:cs="Arial"/>
      <w:sz w:val="30"/>
      <w:szCs w:val="30"/>
    </w:rPr>
  </w:style>
  <w:style w:type="character" w:customStyle="1" w:styleId="Heading4Char">
    <w:name w:val="Heading 4 Char"/>
    <w:basedOn w:val="VarsaylanParagrafYazTipi"/>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pPr>
    <w:rPr>
      <w:sz w:val="24"/>
      <w:szCs w:val="24"/>
    </w:rPr>
  </w:style>
  <w:style w:type="character" w:customStyle="1" w:styleId="AltyazChar">
    <w:name w:val="Altyazı Char"/>
    <w:basedOn w:val="VarsaylanParagrafYazTipi"/>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TabloKlavuzu">
    <w:name w:val="Table Grid"/>
    <w:basedOn w:val="NormalTablo"/>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eastAsia="tr-T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eastAsia="tr-T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eastAsia="tr-T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eastAsia="tr-T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eastAsia="tr-T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eastAsia="tr-T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pPr>
      <w:spacing w:after="0"/>
    </w:pPr>
  </w:style>
  <w:style w:type="paragraph" w:styleId="ListeParagraf">
    <w:name w:val="List Paragraph"/>
    <w:basedOn w:val="Normal"/>
    <w:link w:val="ListeParagrafChar"/>
    <w:uiPriority w:val="34"/>
    <w:qFormat/>
    <w:pPr>
      <w:ind w:left="720"/>
      <w:contextualSpacing/>
    </w:pPr>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Pr>
      <w:rFonts w:asciiTheme="majorHAnsi" w:eastAsiaTheme="majorEastAsia" w:hAnsiTheme="majorHAnsi" w:cstheme="majorBidi"/>
      <w:b/>
      <w:bCs/>
      <w:color w:val="4F81BD" w:themeColor="accent1"/>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rPr>
      <w:sz w:val="20"/>
      <w:szCs w:val="20"/>
    </w:rPr>
  </w:style>
  <w:style w:type="character" w:styleId="DipnotBavurusu">
    <w:name w:val="footnote reference"/>
    <w:basedOn w:val="VarsaylanParagrafYazTipi"/>
    <w:uiPriority w:val="99"/>
    <w:semiHidden/>
    <w:unhideWhenUsed/>
    <w:rPr>
      <w:vertAlign w:val="superscript"/>
    </w:rPr>
  </w:style>
  <w:style w:type="character" w:customStyle="1" w:styleId="ListeParagrafChar">
    <w:name w:val="Liste Paragraf Char"/>
    <w:basedOn w:val="VarsaylanParagrafYazTipi"/>
    <w:link w:val="ListeParagraf"/>
    <w:uiPriority w:val="34"/>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character" w:styleId="Kpr">
    <w:name w:val="Hyperlink"/>
    <w:basedOn w:val="VarsaylanParagrafYazTipi"/>
    <w:uiPriority w:val="99"/>
    <w:unhideWhenUsed/>
    <w:rPr>
      <w:color w:val="0000FF" w:themeColor="hyperlink"/>
      <w:u w:val="single"/>
    </w:rPr>
  </w:style>
  <w:style w:type="character" w:customStyle="1" w:styleId="Balk4Char">
    <w:name w:val="Başlık 4 Char"/>
    <w:basedOn w:val="VarsaylanParagrafYazTipi"/>
    <w:link w:val="Balk4"/>
    <w:uiPriority w:val="9"/>
    <w:rPr>
      <w:rFonts w:asciiTheme="majorHAnsi" w:eastAsiaTheme="majorEastAsia" w:hAnsiTheme="majorHAnsi" w:cstheme="majorBidi"/>
      <w:b/>
      <w:bCs/>
      <w:i/>
      <w:iCs/>
      <w:color w:val="4F81BD" w:themeColor="accent1"/>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zlenenKpr">
    <w:name w:val="FollowedHyperlink"/>
    <w:basedOn w:val="VarsaylanParagrafYazTipi"/>
    <w:uiPriority w:val="99"/>
    <w:semiHidden/>
    <w:unhideWhenUsed/>
    <w:rsid w:val="00476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kka.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Arial"/>
        <a:cs typeface="Arial"/>
      </a:majorFont>
      <a:minorFont>
        <a:latin typeface="Calibri"/>
        <a:ea typeface="Arial"/>
        <a:cs typeface="Arial"/>
      </a:minorFont>
    </a:fontScheme>
    <a:fmtScheme name="Ofis">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14D0-B593-4FCE-96B1-3BEF75AF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1214</Words>
  <Characters>6924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PYB</dc:creator>
  <cp:lastModifiedBy>Kübra BİRHAN</cp:lastModifiedBy>
  <cp:revision>22</cp:revision>
  <dcterms:created xsi:type="dcterms:W3CDTF">2022-01-21T10:47:00Z</dcterms:created>
  <dcterms:modified xsi:type="dcterms:W3CDTF">2023-01-10T08:44:00Z</dcterms:modified>
</cp:coreProperties>
</file>